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4E2CF6AA" w:rsidR="005F6ECE" w:rsidRPr="00FC3F8A" w:rsidRDefault="00251773" w:rsidP="00251773">
      <w:hyperlink r:id="rId6" w:history="1">
        <w:r w:rsidRPr="00036A77">
          <w:rPr>
            <w:rStyle w:val="Collegamentoipertestuale"/>
          </w:rPr>
          <w:t>https://www.rainews.it/articoli/2025/02/il-governatore-della-banca-ditalia-panetta-in-italia-e-germania-impatto-maggiore-dei-dazi-usa-bee700ea-a196-480e-bef7-b21dd173eb2d.html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inews.it/articoli/2025/02/il-governatore-della-banca-ditalia-panetta-in-italia-e-germania-impatto-maggiore-dei-dazi-usa-bee700ea-a196-480e-bef7-b21dd173eb2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2025-02-24T16:30:00Z</dcterms:created>
  <dcterms:modified xsi:type="dcterms:W3CDTF">2025-02-24T16:31:00Z</dcterms:modified>
</cp:coreProperties>
</file>